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92026_120702.xml.htm"/>
      <w:bookmarkStart w:id="1" w:name="ksform407092026_1207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27,062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r>
              <w:rPr>
                <w:rFonts w:ascii="Times;serif" w:hAnsi="Times;serif"/>
                <w:color w:val="008000"/>
                <w:position w:val="7"/>
                <w:sz w:val="16"/>
                <w:sz w:val="20"/>
                <w:shd w:fill="FFFFFF" w:val="clear"/>
              </w:rPr>
              <w:t>(1)</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2,668,370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LP</w:t>
            </w:r>
            <w:r>
              <w:rPr>
                <w:rFonts w:ascii="Times;serif" w:hAnsi="Times;serif"/>
                <w:color w:val="008000"/>
                <w:position w:val="7"/>
                <w:sz w:val="16"/>
                <w:sz w:val="20"/>
                <w:shd w:fill="FFFFFF" w:val="clear"/>
              </w:rPr>
              <w:t>(2)</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15,810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rFonts w:ascii="Times;serif" w:hAnsi="Times;serif"/>
                <w:color w:val="008000"/>
                <w:position w:val="7"/>
                <w:sz w:val="16"/>
                <w:sz w:val="20"/>
                <w:shd w:fill="FFFFFF" w:val="clear"/>
              </w:rPr>
              <w:t>(3)</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2,684,180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LP</w:t>
            </w:r>
            <w:r>
              <w:rPr>
                <w:rFonts w:ascii="Times;serif" w:hAnsi="Times;serif"/>
                <w:color w:val="008000"/>
                <w:position w:val="7"/>
                <w:sz w:val="16"/>
                <w:sz w:val="20"/>
                <w:shd w:fill="FFFFFF" w:val="clear"/>
              </w:rPr>
              <w:t>(2)</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w:t>
            </w: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2,698,518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purchased in multiple transactions at prices ranging from $2.46 to $2.50. The Reporting Persons undertake to provide the Issuer, any security holder of the Issuer or the SEC staff, upon request, all information regarding the number of shares purchased at each price within the ranges set forth in Footnotes 1 and 3 through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618,407 shares, Tang Capital Partners International, LP ("TCPI") beneficially owns 843,301 shares, Tang Capital Partners III, Inc. ("TCP III") beneficially owns 618,403 shares, and Tang Capital Partners IV, Inc. ("TCP IV") beneficially owns 618,407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purchased in multiple transactions at prices ranging from $2.44 to $2.50.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purchased in multiple transactions at prices ranging from $2.42 to $2.48.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835</Words>
  <Characters>4467</Characters>
  <CharactersWithSpaces>5197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