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001-41989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83-0751369</w:t>
            </w:r>
          </w:p>
        </w:tc>
      </w:tr>
      <w:tr>
        <w:trPr>
          <w:trHeight w:val="149"/>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10955 Alexandria Way, Suite 100,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8, 2026, Boundless Bio, Inc. (the Company) issued a press release announcing its financial results for the quarter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and regardless of any general incorporation by reference language in any such filing, unless the Company specifically states in such filing that such information, or a portion thereof, is to be considered “filed” rather than furnished or incorporated by reference therein.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5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tcPr>
          <w:p>
            <w:pPr>
              <w:spacing w:after="0"/>
              <w:rPr>
                <w:sz w:val="15"/>
                <w:szCs w:val="15"/>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on May 8,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8, 2026</w:t>
      </w:r>
      <w:r>
        <w:rPr>
          <w:sz w:val="20"/>
          <w:szCs w:val="20"/>
          <w:color w:val="auto"/>
        </w:rPr>
        <w:tab/>
      </w:r>
      <w:r>
        <w:rPr>
          <w:rFonts w:ascii="Times New Roman" w:cs="Times New Roman" w:eastAsia="Times New Roman" w:hAnsi="Times New Roman"/>
          <w:sz w:val="18"/>
          <w:szCs w:val="18"/>
          <w:color w:val="auto"/>
        </w:rPr>
        <w:t>By:</w:t>
        <w:tab/>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164465</wp:posOffset>
            </wp:positionV>
            <wp:extent cx="218567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56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3"/>
          <w:szCs w:val="23"/>
          <w:b w:val="1"/>
          <w:bCs w:val="1"/>
          <w:color w:val="auto"/>
        </w:rPr>
        <w:t>Boundless Bio Reports First Quarter 2026</w:t>
      </w:r>
    </w:p>
    <w:p>
      <w:pPr>
        <w:spacing w:after="0" w:line="3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3"/>
          <w:szCs w:val="23"/>
          <w:b w:val="1"/>
          <w:bCs w:val="1"/>
          <w:color w:val="auto"/>
        </w:rPr>
        <w:t>Financial Results and Business Highlights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Enrollment proceeding in KOMODO-1 first-in-human clinical trial of BBI-940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$93 million in cash provides runway through expected clinical proof-of-concept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readout for KOMODO-1</w:t>
      </w:r>
    </w:p>
    <w:p>
      <w:pPr>
        <w:spacing w:after="0" w:line="20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SAN DIEGO, May 8, 2026 </w:t>
      </w:r>
      <w:r>
        <w:rPr>
          <w:rFonts w:ascii="Times New Roman" w:cs="Times New Roman" w:eastAsia="Times New Roman" w:hAnsi="Times New Roman"/>
          <w:sz w:val="22"/>
          <w:szCs w:val="22"/>
          <w:color w:val="auto"/>
        </w:rPr>
        <w:t>– Boundless Bio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0563C1"/>
        </w:rPr>
        <w:t>(Nasdaq: BOLD)</w:t>
      </w:r>
      <w:r>
        <w:rPr>
          <w:rFonts w:ascii="Times New Roman" w:cs="Times New Roman" w:eastAsia="Times New Roman" w:hAnsi="Times New Roman"/>
          <w:sz w:val="22"/>
          <w:szCs w:val="22"/>
          <w:color w:val="auto"/>
        </w:rPr>
        <w:t>, a clinical-stage oncology company interrogating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extrachromosomal DNA (ecDNA) biology to deliver transformative therapies to patients with previously intractable oncogene amplified cancers, today announced financial results and business highlights for the fiscal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-344805</wp:posOffset>
            </wp:positionV>
            <wp:extent cx="1120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encouraged by the progress of the KOMODO-1 trial," said Zachary Hornby, President and Chief Executive Officer of Boundless Bio. “We continue to expand the body of evidence supporting BBI-940’s kinesin degradation mechanism, with our recent AACR poster demonstrating anti-tumor activity and tumor regression across multiple ecDNA+ cancer models. These findings further strengthen our confidence in the therapeutic potential of BBI-940 as we advance the program through a first-in-human clinical trial.”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and Upcoming Milestones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BBI-940 Novel Kinesin Degrader Clinical Program</w:t>
      </w:r>
    </w:p>
    <w:p>
      <w:pPr>
        <w:spacing w:after="0" w:line="18" w:lineRule="exact"/>
        <w:rPr>
          <w:sz w:val="20"/>
          <w:szCs w:val="20"/>
          <w:color w:val="auto"/>
        </w:rPr>
      </w:pPr>
    </w:p>
    <w:p>
      <w:pPr>
        <w:jc w:val="both"/>
        <w:ind w:left="380" w:hanging="372"/>
        <w:spacing w:after="0" w:line="241" w:lineRule="auto"/>
        <w:tabs>
          <w:tab w:leader="none" w:pos="38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Enrollment is ongoing in KOMODO-1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inesin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ral </w:t>
      </w:r>
      <w:r>
        <w:rPr>
          <w:rFonts w:ascii="Times New Roman" w:cs="Times New Roman" w:eastAsia="Times New Roman" w:hAnsi="Times New Roman"/>
          <w:sz w:val="21"/>
          <w:szCs w:val="21"/>
          <w:u w:val="single" w:color="auto"/>
          <w:color w:val="auto"/>
        </w:rPr>
        <w:t>Mo</w:t>
      </w:r>
      <w:r>
        <w:rPr>
          <w:rFonts w:ascii="Times New Roman" w:cs="Times New Roman" w:eastAsia="Times New Roman" w:hAnsi="Times New Roman"/>
          <w:sz w:val="21"/>
          <w:szCs w:val="21"/>
          <w:color w:val="auto"/>
        </w:rPr>
        <w:t xml:space="preserve">lecular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egrader for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ncology-1), a first-in-human clinical trial of BBI-940 in patients with estrogen receptor positive and human epidermal growth factor receptor 2 negative (ER+/HER2-) breast cancer who have progressed following treatment with a cyclin-dependent kinase 4 and/or 6 (CDK4/6) inhibitor plus endocrine therapy, as well as patients with triple-negative breast cancer luminal androgen receptor subtype (TNBC-LAR).</w:t>
      </w:r>
    </w:p>
    <w:p>
      <w:pPr>
        <w:spacing w:after="0" w:line="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safety and efficacy clinical proof-of-concept data are expected within the Company’s existing cash runway timeline.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Validating Kinesin Degradation Data Presented at 2026 AACR Annual Meeting</w:t>
      </w:r>
    </w:p>
    <w:p>
      <w:pPr>
        <w:spacing w:after="0" w:line="18" w:lineRule="exact"/>
        <w:rPr>
          <w:sz w:val="20"/>
          <w:szCs w:val="20"/>
          <w:color w:val="auto"/>
        </w:rPr>
      </w:pPr>
    </w:p>
    <w:p>
      <w:pPr>
        <w:jc w:val="both"/>
        <w:ind w:left="380" w:hanging="372"/>
        <w:spacing w:after="0" w:line="230"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vitro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in vivo </w:t>
      </w:r>
      <w:r>
        <w:rPr>
          <w:rFonts w:ascii="Times New Roman" w:cs="Times New Roman" w:eastAsia="Times New Roman" w:hAnsi="Times New Roman"/>
          <w:sz w:val="22"/>
          <w:szCs w:val="22"/>
          <w:color w:val="auto"/>
        </w:rPr>
        <w:t>study data were presented at the American Association for Cancer Research (AACR) Annual Meeting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2026, which demonstrated that genetic depletion and pharmacologic degradation of a novel kinesin (Kinesin) cause ecDNA mis-segregation, ecDNA reduction, and reduced viability of ecDNA positive (ecDNA+) cancer cells.</w:t>
      </w:r>
    </w:p>
    <w:p>
      <w:pPr>
        <w:spacing w:after="0" w:line="1" w:lineRule="exact"/>
        <w:rPr>
          <w:rFonts w:ascii="Times New Roman" w:cs="Times New Roman" w:eastAsia="Times New Roman" w:hAnsi="Times New Roman"/>
          <w:sz w:val="22"/>
          <w:szCs w:val="22"/>
          <w:color w:val="auto"/>
        </w:rPr>
      </w:pPr>
    </w:p>
    <w:p>
      <w:pPr>
        <w:jc w:val="both"/>
        <w:ind w:left="380" w:hanging="372"/>
        <w:spacing w:after="0" w:line="233"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Further, selective degradation of Kinesin in a panel of tumor cell lines demonstrated sensitivity across multiple tumor types, including 32% of breast cancer cell lines, including those positive for ecDNA and </w:t>
      </w:r>
      <w:r>
        <w:rPr>
          <w:rFonts w:ascii="Times New Roman" w:cs="Times New Roman" w:eastAsia="Times New Roman" w:hAnsi="Times New Roman"/>
          <w:sz w:val="22"/>
          <w:szCs w:val="22"/>
          <w:i w:val="1"/>
          <w:iCs w:val="1"/>
          <w:color w:val="auto"/>
        </w:rPr>
        <w:t>FGFR1</w:t>
      </w:r>
      <w:r>
        <w:rPr>
          <w:rFonts w:ascii="Times New Roman" w:cs="Times New Roman" w:eastAsia="Times New Roman" w:hAnsi="Times New Roman"/>
          <w:sz w:val="22"/>
          <w:szCs w:val="22"/>
          <w:color w:val="auto"/>
        </w:rPr>
        <w:t xml:space="preserve"> gain. This molecularly defined subgroup for Kinesin degradation sensitivity was further validated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with demonstrated monotherapy tumor regressions in an ecDNA+ TNBC-LAR model, and significant antitumor activity as monotherapy and in combination with fulvestrant in an ecDNA+/</w:t>
      </w:r>
      <w:r>
        <w:rPr>
          <w:rFonts w:ascii="Times New Roman" w:cs="Times New Roman" w:eastAsia="Times New Roman" w:hAnsi="Times New Roman"/>
          <w:sz w:val="22"/>
          <w:szCs w:val="22"/>
          <w:i w:val="1"/>
          <w:iCs w:val="1"/>
          <w:color w:val="auto"/>
        </w:rPr>
        <w:t>FGFR1+</w:t>
      </w:r>
      <w:r>
        <w:rPr>
          <w:rFonts w:ascii="Times New Roman" w:cs="Times New Roman" w:eastAsia="Times New Roman" w:hAnsi="Times New Roman"/>
          <w:sz w:val="22"/>
          <w:szCs w:val="22"/>
          <w:color w:val="auto"/>
        </w:rPr>
        <w:t xml:space="preserve"> ER+ breast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5154295</wp:posOffset>
            </wp:positionH>
            <wp:positionV relativeFrom="page">
              <wp:posOffset>500380</wp:posOffset>
            </wp:positionV>
            <wp:extent cx="218567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185670" cy="3257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18" w:lineRule="exact"/>
        <w:rPr>
          <w:sz w:val="20"/>
          <w:szCs w:val="20"/>
          <w:color w:val="auto"/>
        </w:rPr>
      </w:pPr>
    </w:p>
    <w:p>
      <w:pPr>
        <w:ind w:left="380" w:right="840" w:hanging="372"/>
        <w:spacing w:after="0" w:line="230"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 short-term investments totaled $92.8 million as of March 31, 2026.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expects its cash to fund operations into the second half of 2028.</w:t>
      </w:r>
    </w:p>
    <w:p>
      <w:pPr>
        <w:spacing w:after="0" w:line="1" w:lineRule="exact"/>
        <w:rPr>
          <w:rFonts w:ascii="Times New Roman" w:cs="Times New Roman" w:eastAsia="Times New Roman" w:hAnsi="Times New Roman"/>
          <w:sz w:val="22"/>
          <w:szCs w:val="22"/>
          <w:color w:val="auto"/>
        </w:rPr>
      </w:pPr>
    </w:p>
    <w:p>
      <w:pPr>
        <w:ind w:left="380" w:right="200" w:hanging="372"/>
        <w:spacing w:after="0" w:line="230"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R&amp;D expenses were $9.7 million for the first quarter of 2026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$12.1 million for the same period in 2025.</w:t>
      </w:r>
    </w:p>
    <w:p>
      <w:pPr>
        <w:spacing w:after="0" w:line="1" w:lineRule="exact"/>
        <w:rPr>
          <w:rFonts w:ascii="Times New Roman" w:cs="Times New Roman" w:eastAsia="Times New Roman" w:hAnsi="Times New Roman"/>
          <w:sz w:val="22"/>
          <w:szCs w:val="22"/>
          <w:color w:val="auto"/>
        </w:rPr>
      </w:pPr>
    </w:p>
    <w:p>
      <w:pPr>
        <w:ind w:left="380" w:right="100" w:hanging="372"/>
        <w:spacing w:after="0" w:line="230"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and Administrative (G&amp;A) Expenses: </w:t>
      </w:r>
      <w:r>
        <w:rPr>
          <w:rFonts w:ascii="Times New Roman" w:cs="Times New Roman" w:eastAsia="Times New Roman" w:hAnsi="Times New Roman"/>
          <w:sz w:val="22"/>
          <w:szCs w:val="22"/>
          <w:color w:val="auto"/>
        </w:rPr>
        <w:t>G&amp;A expenses were $4.7 million for the first quarter of 2026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$5.2 million for the same period in 2025.</w:t>
      </w:r>
    </w:p>
    <w:p>
      <w:pPr>
        <w:spacing w:after="0" w:line="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Net Loss: </w:t>
      </w:r>
      <w:r>
        <w:rPr>
          <w:rFonts w:ascii="Times New Roman" w:cs="Times New Roman" w:eastAsia="Times New Roman" w:hAnsi="Times New Roman"/>
          <w:sz w:val="21"/>
          <w:szCs w:val="21"/>
          <w:color w:val="auto"/>
        </w:rPr>
        <w:t>Net loss totaled $13.6 million for the first quarter of 2026 compared to $15.8 million for the same period in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Boundless Bio</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Boundless Bio is a clinical-stage oncology company dedicated to unlocking a new paradigm in cancer therapeutics that addresses the significant unmet need in patients with oncogene amplified tumors. Boundless Bio’s research focuses on extrachromosomal DNA (ecDNA), a root cause of oncogene amplification observed in 14% to 17% of cancer patients. Boundless Bio is developing BBI-940, a potentially first-in-class, oral, selective Kinesin degrader as an ecDNA-directed therapeutic candidate (ecDTx). Boundless Bio is headquartered in San Diego, California.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visit https://boundlessbio.com/and follow us on LinkedIn and 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Boundless Bio, Inc. (the Company) cautions you that statements contained in this press release that are not a description of historical facts are forward-looking statements. In some cases, you can identify forward-looking statements by terms such as “anticipate,” “believe,” “contemplate,” “continue,” “could,” “estimate,” “expect,” “intend,” “may,” “plan,” “potential,” “predict,” “project,” “should,” “would,” “target,” or “will” or the negative of these terms or other similar expressions. Forward-looking statements are based on the Company’s current beliefs and expectations and include but are not limited to statements regarding: plans to continue enrollment in and advance the KOMODO-1 trial through initial clinical proof-of-concept data; the expected timing of an initial clinical proof-of-concept readout from the KOMODO-1 trial; the significance of data from preclinical studies of BBI-940; the Company’s cash runway and the sufficiency thereof to fund operations through the anticipated initial clinical proof-of-concept readout from the KOMODO-1 trial; the potential safety and therapeutic benefits of BBI-940 as a monotherapy and in combination with fulvestrant; and BBI-940’s potential to become a first-in-class drug product. The Company’s actual results and performance may differ materially from those expressed or implied in any forward-looking statement due to substantial known and unknown risks and uncertainties, including, without limitation: potential delays in the enrollment, data readouts, or completion of clinical trials or in regulatory submissions and responses; the Company may use its capital resources sooner than it expects; the Company may be unable to obtain necessary additional funding when needed, on acceptable terms, or at all; the Company is early in its development efforts and its approach to discover and develop ecDTx to treat oncogene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5154295</wp:posOffset>
            </wp:positionH>
            <wp:positionV relativeFrom="page">
              <wp:posOffset>500380</wp:posOffset>
            </wp:positionV>
            <wp:extent cx="218567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85670" cy="325755"/>
                    </a:xfrm>
                    <a:prstGeom prst="rect">
                      <a:avLst/>
                    </a:prstGeom>
                    <a:noFill/>
                  </pic:spPr>
                </pic:pic>
              </a:graphicData>
            </a:graphic>
          </wp:anchor>
        </w:drawing>
        <w:t>amplified cancers is novel and unproven; clinical and preclinical development of therapeutics involves a lengthy and expensive process with inherently uncertain timelines and outcomes; results from preclinical studies or early clinical trials not necessarily being predictive of future results; unexpected adverse side effects or other safety risks or inadequate efficacy of the Company’s ecDTx that may delay or limit their development, regulatory approval, and/or commercialization; the Company’s ability to retain key personnel; the Company’s dependence on third parties in connection with clinical trials, preclinical studies, and manufacturing; the Company may expend its limited resources to pursue a particular ecDTx or combination therapy and fail to capitalize on ecDTx with greater development or commercial potential; the potential for the Company’s programs and prospects to be negatively impacted by developments relating to its competitors, including the results of studies or regulatory determinations relating to its competitors; regulatory and healthcare reform developments in the United States and foreign countries; disruptions or changes at the U.S. Food and Drug Administration (FDA) or other government agencies that limit the FDA’s ability to perform routine activities or function in the normal course or impact the regulatory approval pathway or commercial potential for the Company’s ecDTx; the Company’s ability to obtain, maintain, defend, and enforce patent or other intellectual property protection for its ecDTx and technology; macroeconomic and geopolitical events and conditions, including international trade policies and tariffs, military conflicts, inflation, supply chain disruptions, market volatility, slowed economic growth or recession; and other risks described in the Company’s filings with the Securities and Exchange Commission (SEC), including under the heading “Risk Factors” in the Company’s annual report on Form 10-K for the year ended December 31, 2025 and any subsequent filings with the SEC. You are cautioned not to place undue reliance on forward-looking statements, which speak only as of the date hereof, and, except as required by law,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Lee, Boundless Bio</w:t>
      </w:r>
    </w:p>
    <w:p>
      <w:pPr>
        <w:spacing w:after="0"/>
        <w:rPr>
          <w:sz w:val="20"/>
          <w:szCs w:val="20"/>
          <w:color w:val="auto"/>
        </w:rPr>
      </w:pPr>
      <w:r>
        <w:rPr>
          <w:rFonts w:ascii="Times New Roman" w:cs="Times New Roman" w:eastAsia="Times New Roman" w:hAnsi="Times New Roman"/>
          <w:sz w:val="22"/>
          <w:szCs w:val="22"/>
          <w:color w:val="0563C1"/>
        </w:rPr>
        <w:t>jlee@boundlessbio.com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 Nugent, THRUST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jon@thrustsc.com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Carly Scaduto, THRUST</w:t>
      </w:r>
    </w:p>
    <w:p>
      <w:pPr>
        <w:spacing w:after="0"/>
        <w:rPr>
          <w:sz w:val="20"/>
          <w:szCs w:val="20"/>
          <w:color w:val="auto"/>
        </w:rPr>
      </w:pPr>
      <w:r>
        <w:rPr>
          <w:rFonts w:ascii="Times New Roman" w:cs="Times New Roman" w:eastAsia="Times New Roman" w:hAnsi="Times New Roman"/>
          <w:sz w:val="22"/>
          <w:szCs w:val="22"/>
          <w:color w:val="0563C1"/>
        </w:rPr>
        <w:t>carly@thrustsc.com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5154295</wp:posOffset>
            </wp:positionH>
            <wp:positionV relativeFrom="page">
              <wp:posOffset>500380</wp:posOffset>
            </wp:positionV>
            <wp:extent cx="218567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85670" cy="3257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25"/>
          <w:szCs w:val="25"/>
          <w:b w:val="1"/>
          <w:bCs w:val="1"/>
          <w:color w:val="auto"/>
        </w:rPr>
        <w:t>BOUNDLESS BIO, INC.</w:t>
      </w:r>
    </w:p>
    <w:p>
      <w:pPr>
        <w:spacing w:after="0" w:line="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Data:</w:t>
            </w:r>
          </w:p>
        </w:tc>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60" w:type="dxa"/>
            <w:vAlign w:val="bottom"/>
            <w:gridSpan w:val="6"/>
          </w:tcPr>
          <w:p>
            <w:pPr>
              <w:jc w:val="right"/>
              <w:ind w:right="1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 thousands, except per share amounts)</w:t>
            </w:r>
          </w:p>
        </w:tc>
        <w:tc>
          <w:tcPr>
            <w:tcW w:w="1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5"/>
                <w:szCs w:val="15"/>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1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197"/>
        </w:trPr>
        <w:tc>
          <w:tcPr>
            <w:tcW w:w="5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calculation</w:t>
            </w:r>
          </w:p>
        </w:tc>
        <w:tc>
          <w:tcPr>
            <w:tcW w:w="18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22,407</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 Data:</w:t>
            </w:r>
          </w:p>
        </w:tc>
        <w:tc>
          <w:tcPr>
            <w:tcW w:w="1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21"/>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5"/>
                <w:szCs w:val="15"/>
                <w:b w:val="1"/>
                <w:bCs w:val="1"/>
                <w:color w:val="auto"/>
              </w:rPr>
              <w:t>2026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92,847</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140,970</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54,587</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273,224</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85,033</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Working capital (1)</w:t>
            </w: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__________</w:t>
            </w: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-2736850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-1887855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-1887855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-1579245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-1562100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-1579245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-1562100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color w:val="auto"/>
        </w:rPr>
        <w:t>(1) We define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2026-05-08T06:07:42Z</dcterms:created>
  <dcterms:modified xsi:type="dcterms:W3CDTF">2026-05-08T06:07:42Z</dcterms:modified>
</cp:coreProperties>
</file>