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71"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Boundless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BOLD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6"/>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47"/>
              <w:spacing w:after="0"/>
              <w:rPr>
                <w:sz w:val="20"/>
                <w:szCs w:val="20"/>
                <w:color w:val="auto"/>
              </w:rPr>
            </w:pPr>
            <w:r>
              <w:rPr>
                <w:rFonts w:ascii="Times New Roman" w:cs="Times New Roman" w:eastAsia="Times New Roman" w:hAnsi="Times New Roman"/>
                <w:sz w:val="17"/>
                <w:szCs w:val="17"/>
                <w:color w:val="0000FF"/>
              </w:rPr>
              <w:t>06/30/2026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8"/>
              </w:rPr>
              <w:t>25,930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2.54</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2,559,775</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47"/>
              <w:spacing w:after="0"/>
              <w:rPr>
                <w:sz w:val="20"/>
                <w:szCs w:val="20"/>
                <w:color w:val="auto"/>
              </w:rPr>
            </w:pPr>
            <w:r>
              <w:rPr>
                <w:rFonts w:ascii="Times New Roman" w:cs="Times New Roman" w:eastAsia="Times New Roman" w:hAnsi="Times New Roman"/>
                <w:sz w:val="17"/>
                <w:szCs w:val="17"/>
                <w:color w:val="0000FF"/>
              </w:rPr>
              <w:t>06/30/2026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w:t>
            </w:r>
            <w:r>
              <w:rPr>
                <w:rFonts w:ascii="Times New Roman" w:cs="Times New Roman" w:eastAsia="Times New Roman" w:hAnsi="Times New Roman"/>
                <w:sz w:val="22"/>
                <w:szCs w:val="22"/>
                <w:color w:val="008000"/>
                <w:w w:val="91"/>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2,559,875</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47"/>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8"/>
              </w:rPr>
              <w:t>71,612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2.49</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2,631,487</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47"/>
              <w:spacing w:after="0"/>
              <w:rPr>
                <w:sz w:val="20"/>
                <w:szCs w:val="20"/>
                <w:color w:val="auto"/>
              </w:rPr>
            </w:pPr>
            <w:r>
              <w:rPr>
                <w:rFonts w:ascii="Times New Roman" w:cs="Times New Roman" w:eastAsia="Times New Roman" w:hAnsi="Times New Roman"/>
                <w:sz w:val="17"/>
                <w:szCs w:val="17"/>
                <w:color w:val="0000FF"/>
              </w:rPr>
              <w:t>07/02/2026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9"/>
              </w:rPr>
              <w:t>9,821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2.49</w:t>
            </w:r>
            <w:r>
              <w:rPr>
                <w:rFonts w:ascii="Times New Roman" w:cs="Times New Roman" w:eastAsia="Times New Roman" w:hAnsi="Times New Roman"/>
                <w:sz w:val="22"/>
                <w:szCs w:val="22"/>
                <w:color w:val="008000"/>
                <w:w w:val="92"/>
                <w:vertAlign w:val="superscript"/>
              </w:rPr>
              <w:t>(5)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2,641,308</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TANG CAPITAL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4747 EXECUTIVE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71"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SAN DIEGO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92121</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6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37655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prices reported are weighted-average prices. These shares were purchased in multiple transactions at prices ranging from $2.49 to $2.60. The Reporting Persons undertake to provide the Issuer, any security holder of the Issuer or the SEC staff, upon request, all information regarding the number of shares purchased at each price within the ranges set forth in Footnotes 1 and 3 through 5.</w:t>
      </w:r>
    </w:p>
    <w:p>
      <w:pPr>
        <w:spacing w:after="0" w:line="7"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Tang Capital Partners, LP ("TCP") beneficially owns 605,296 shares, Tang Capital Partners International, LP ("TCPI") beneficially owns 825,422 shares, Tang Capital Partners III, Inc. ("TCP III") beneficially owns 605,294 shares, and Tang Capital Partners IV, Inc. ("TCP IV") beneficially owns 605,296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all purchased at $2.50.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$2.46 to $2.50.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$2.47 to $2.50.</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Kevin Tang</w:t>
            </w:r>
          </w:p>
        </w:tc>
        <w:tc>
          <w:tcPr>
            <w:tcW w:w="1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 Tang, Manager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43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178579" TargetMode="External"/><Relationship Id="rId14" Type="http://schemas.openxmlformats.org/officeDocument/2006/relationships/hyperlink" Target="http://www.sec.gov/cgi-bin/browse-edgar?action=getcompany&amp;CIK=0001782303" TargetMode="External"/><Relationship Id="rId15" Type="http://schemas.openxmlformats.org/officeDocument/2006/relationships/hyperlink" Target="http://www.sec.gov/cgi-bin/browse-edgar?action=getcompany&amp;CIK=000123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2026-07-02T18:46:52Z</dcterms:created>
  <dcterms:modified xsi:type="dcterms:W3CDTF">2026-07-02T18:46:52Z</dcterms:modified>
</cp:coreProperties>
</file>