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696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6969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TANG KEVIN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Boundless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BOLD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4747 EXECUTIVE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2,247,512</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By LP</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6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TANG KEVIN</w:t>
              </w:r>
            </w:hyperlink>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40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4747 EXECUTIVE DRIVE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SUITE 210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SAN DIEGO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92121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gridSpan w:val="2"/>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40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6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gridSpan w:val="6"/>
          </w:tcPr>
          <w:p>
            <w:pPr>
              <w:spacing w:after="0" w:line="255" w:lineRule="exact"/>
              <w:rPr>
                <w:rFonts w:ascii="Times New Roman" w:cs="Times New Roman" w:eastAsia="Times New Roman" w:hAnsi="Times New Roman"/>
                <w:sz w:val="24"/>
                <w:szCs w:val="24"/>
                <w:color w:val="0000EE"/>
                <w:w w:val="99"/>
              </w:rPr>
            </w:pPr>
            <w:hyperlink r:id="rId13">
              <w:r>
                <w:rPr>
                  <w:rFonts w:ascii="Times New Roman" w:cs="Times New Roman" w:eastAsia="Times New Roman" w:hAnsi="Times New Roman"/>
                  <w:sz w:val="24"/>
                  <w:szCs w:val="24"/>
                  <w:color w:val="0000EE"/>
                  <w:w w:val="99"/>
                </w:rPr>
                <w:t>TANG CAPITAL MANAGEMENT LLC</w:t>
              </w:r>
            </w:hyperlink>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40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4747 EXECUTIVE DRIVE</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SUITE 210</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SAN DIEGO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92121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gridSpan w:val="2"/>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40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1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beneficially owned by Tang Capital Partners, LP ("TCP"), Tang Capital Partners International, LP ("TCPI"), Tang Capital Partners III, Inc. ("TCP III") and Tang Capital Partners IV, Inc. ("TCP IV").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Kevin Tang</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06/29/2026</w:t>
            </w:r>
          </w:p>
        </w:tc>
      </w:tr>
      <w:tr>
        <w:trPr>
          <w:trHeight w:val="20"/>
        </w:trPr>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Kevin Tang, Manager</w:t>
            </w:r>
          </w:p>
        </w:tc>
        <w:tc>
          <w:tcPr>
            <w:tcW w:w="4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06/29/2026</w:t>
            </w: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178579" TargetMode="External"/><Relationship Id="rId11" Type="http://schemas.openxmlformats.org/officeDocument/2006/relationships/hyperlink" Target="http://www.sec.gov/cgi-bin/browse-edgar?action=getcompany&amp;CIK=0001782303" TargetMode="External"/><Relationship Id="rId13" Type="http://schemas.openxmlformats.org/officeDocument/2006/relationships/hyperlink" Target="http://www.sec.gov/cgi-bin/browse-edgar?action=getcompany&amp;CIK=000123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2026-06-29T18:54:14Z</dcterms:created>
  <dcterms:modified xsi:type="dcterms:W3CDTF">2026-06-29T18:54:14Z</dcterms:modified>
</cp:coreProperties>
</file>