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72026_120745.xml.htm"/>
      <w:bookmarkStart w:id="1" w:name="ksform407172026_120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43,878</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w:t>
            </w:r>
            <w:r>
              <w:rPr>
                <w:rFonts w:ascii="Times;serif" w:hAnsi="Times;serif"/>
                <w:color w:val="008000"/>
                <w:position w:val="7"/>
                <w:sz w:val="16"/>
                <w:sz w:val="20"/>
                <w:shd w:fill="FFFFFF" w:val="clear"/>
              </w:rPr>
              <w:t>(1)</w:t>
            </w:r>
            <w:r>
              <w:rPr/>
              <w:t xml:space="preserve"> </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2,833,981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(3)</w:t>
            </w:r>
            <w:r>
              <w:rPr/>
              <w:t xml:space="preserve"> </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2,835,581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18,491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w:t>
            </w:r>
            <w:r>
              <w:rPr>
                <w:rFonts w:ascii="Times;serif" w:hAnsi="Times;serif"/>
                <w:color w:val="008000"/>
                <w:position w:val="7"/>
                <w:sz w:val="16"/>
                <w:sz w:val="20"/>
                <w:shd w:fill="FFFFFF" w:val="clear"/>
              </w:rPr>
              <w:t>(4)</w:t>
            </w:r>
            <w:r>
              <w:rPr/>
              <w:t xml:space="preserve"> </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2,854,072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purchased in multiple transactions at prices ranging from $2.41 to $2.44. The Reporting Persons undertake to provide the Issuer, any security holder of the Issuer or the SEC staff, upon request, all information regarding the number of shares purchased at each price within the ranges set forth in Footnotes 1 and 3 through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654,055 shares, Tang Capital Partners International, LP ("TCPI") beneficially owns 891,914 shares, Tang Capital Partners III, Inc. ("TCP III") beneficially owns 654,048 shares, and Tang Capital Partners IV, Inc. ("TCP IV") beneficially owns 654,055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all purchased at $2.44.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purchased in multiple transactions at prices ranging from $2.43 to $2.44.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828</Words>
  <Characters>4444</Characters>
  <CharactersWithSpaces>5167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